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B3D460B-06E1-4729-8893-05D8CAD694B6" style="width:455.25pt;height:479.25pt">
            <v:imagedata r:id="rId10" o:title=""/>
          </v:shape>
        </w:pict>
      </w:r>
    </w:p>
    <w:bookmarkEnd w:id="0"/>
    <w:p>
      <w:pPr>
        <w:rPr>
          <w:noProof/>
        </w:rPr>
        <w:sectPr>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pPr>
        <w:pStyle w:val="ListParagraph"/>
        <w:numPr>
          <w:ilvl w:val="0"/>
          <w:numId w:val="1"/>
        </w:numPr>
        <w:spacing w:after="200" w:line="276" w:lineRule="auto"/>
        <w:jc w:val="both"/>
        <w:rPr>
          <w:rFonts w:ascii="Times New Roman" w:hAnsi="Times New Roman" w:cs="Times New Roman"/>
          <w:b/>
          <w:bCs/>
          <w:noProof/>
        </w:rPr>
      </w:pPr>
      <w:r>
        <w:rPr>
          <w:rFonts w:ascii="Times New Roman" w:hAnsi="Times New Roman"/>
          <w:b/>
          <w:noProof/>
        </w:rPr>
        <w:lastRenderedPageBreak/>
        <w:t xml:space="preserve">Necesitatea unei acțiuni la nivelul UE </w:t>
      </w:r>
    </w:p>
    <w:p>
      <w:pPr>
        <w:jc w:val="both"/>
        <w:rPr>
          <w:rFonts w:ascii="Times New Roman" w:hAnsi="Times New Roman" w:cs="Times New Roman"/>
          <w:b/>
          <w:bCs/>
          <w:noProof/>
        </w:rPr>
      </w:pPr>
      <w:r>
        <w:rPr>
          <w:rFonts w:ascii="Times New Roman" w:hAnsi="Times New Roman"/>
          <w:b/>
          <w:noProof/>
        </w:rPr>
        <w:t xml:space="preserve">Care este problema abordată? </w:t>
      </w:r>
    </w:p>
    <w:p>
      <w:pPr>
        <w:jc w:val="both"/>
        <w:rPr>
          <w:rFonts w:ascii="Times New Roman" w:hAnsi="Times New Roman" w:cs="Times New Roman"/>
          <w:noProof/>
        </w:rPr>
      </w:pPr>
      <w:r>
        <w:rPr>
          <w:rFonts w:ascii="Times New Roman" w:hAnsi="Times New Roman"/>
          <w:noProof/>
        </w:rPr>
        <w:t xml:space="preserve">Inițiativa abordează obstacolele existente în calea dovedirii rapide, de către persoanele fizice, a drepturilor lor în materie de securitate socială și a statutului de asigurat, precum și a verificării eficiente și securizate a acestor informații, în întreaga Europă, de către organismele de securitate socială, inspectoratele de muncă și furnizorii de servicii medicale. Inițiativa răspunde, totodată, dificultăților pe care le întâmpină întreprinderile în respectarea fără sincope a cerințelor atunci când își trimit angajații să lucreze temporar în străinătate. </w:t>
      </w:r>
    </w:p>
    <w:p>
      <w:pPr>
        <w:jc w:val="both"/>
        <w:rPr>
          <w:rFonts w:ascii="Times New Roman" w:hAnsi="Times New Roman" w:cs="Times New Roman"/>
          <w:b/>
          <w:bCs/>
          <w:i/>
          <w:iCs/>
          <w:noProof/>
        </w:rPr>
      </w:pPr>
      <w:r>
        <w:rPr>
          <w:rFonts w:ascii="Times New Roman" w:hAnsi="Times New Roman"/>
          <w:noProof/>
        </w:rPr>
        <w:t xml:space="preserve">Problema este cauzată de dependența de procedurile de solicitare, eliberare și verificare a </w:t>
      </w:r>
      <w:hyperlink r:id="rId17">
        <w:r>
          <w:rPr>
            <w:rStyle w:val="Hyperlink"/>
            <w:rFonts w:ascii="Times New Roman" w:hAnsi="Times New Roman"/>
            <w:noProof/>
          </w:rPr>
          <w:t>documentelor portabile</w:t>
        </w:r>
      </w:hyperlink>
      <w:r>
        <w:rPr>
          <w:rFonts w:ascii="Times New Roman" w:hAnsi="Times New Roman"/>
          <w:noProof/>
        </w:rPr>
        <w:t xml:space="preserve"> și a </w:t>
      </w:r>
      <w:hyperlink r:id="rId18">
        <w:r>
          <w:rPr>
            <w:rStyle w:val="Hyperlink"/>
            <w:rFonts w:ascii="Times New Roman" w:hAnsi="Times New Roman"/>
            <w:noProof/>
          </w:rPr>
          <w:t>cardului european de asigurări sociale de sănătate (CEASS)</w:t>
        </w:r>
      </w:hyperlink>
      <w:r>
        <w:rPr>
          <w:rFonts w:ascii="Times New Roman" w:hAnsi="Times New Roman"/>
          <w:noProof/>
        </w:rPr>
        <w:t xml:space="preserve">, bazate încă în mare parte pe documente pe suport de hârtie, de gradul redus de interoperabilitate transfrontalieră și de standardizare a formatului documentelor și a metodelor de verificare, precum și de procesele care nu răspund suficient de bine nevoilor persoanelor fizice și ale întreprinderilor. Toate acestea generează ineficiențe, o complexitate procedurală inutilă, costuri sporite, pierderi de timp, erori și fraude, putând îngreuna accesul la prestațiile de securitate socială și la serviciile de asistență medicală în alte state membre. </w:t>
      </w:r>
    </w:p>
    <w:p>
      <w:pPr>
        <w:jc w:val="both"/>
        <w:rPr>
          <w:rFonts w:ascii="Times New Roman" w:hAnsi="Times New Roman" w:cs="Times New Roman"/>
          <w:b/>
          <w:bCs/>
          <w:noProof/>
        </w:rPr>
      </w:pPr>
      <w:r>
        <w:rPr>
          <w:rFonts w:ascii="Times New Roman" w:hAnsi="Times New Roman"/>
          <w:b/>
          <w:noProof/>
        </w:rPr>
        <w:t>Ce se așteaptă de la această inițiativă?</w:t>
      </w:r>
    </w:p>
    <w:p>
      <w:pPr>
        <w:jc w:val="both"/>
        <w:rPr>
          <w:rFonts w:ascii="Times New Roman" w:hAnsi="Times New Roman" w:cs="Times New Roman"/>
          <w:noProof/>
        </w:rPr>
      </w:pPr>
      <w:r>
        <w:rPr>
          <w:rFonts w:ascii="Times New Roman" w:hAnsi="Times New Roman"/>
          <w:noProof/>
        </w:rPr>
        <w:t xml:space="preserve">Inițiativa urmărește să faciliteze exercitarea drepturilor în materie de securitate socială la nivel transfrontalier și să îmbunătățească aplicarea și asigurarea respectării normelor UE de coordonare a securității sociale. Se preconizează că acțiunea la nivelul UE va spori transparența și accesibilitatea drepturilor, reducând practicile frauduloase și de exploatare. Inițiativa este menită, de asemenea, să sprijine întreprinderile, facilitându-le desfășurarea de activități transfrontaliere, precum și autoritățile naționale, prin simplificarea proceselor și consolidarea cooperării. Inițiativa se aliniază la obiectivele mai ample ale UE de simplificare a proceselor administrative, de eficientizare a accesului la servicii prin digitalizare și de îmbunătățire a gradului de conștientizare a persoanelor cu privire la propriile date și a controlului asupra acestora. Totodată, inițiativa va contribui la accelerarea digitalizării serviciilor publice – un obiectiv-cheie al deceniului digital al Europei – și, în cele din urmă, la creșterea competitivității economiei UE. </w:t>
      </w:r>
    </w:p>
    <w:p>
      <w:pPr>
        <w:jc w:val="both"/>
        <w:rPr>
          <w:rFonts w:ascii="Times New Roman" w:hAnsi="Times New Roman" w:cs="Times New Roman"/>
          <w:b/>
          <w:bCs/>
          <w:noProof/>
        </w:rPr>
      </w:pPr>
      <w:r>
        <w:rPr>
          <w:rFonts w:ascii="Times New Roman" w:hAnsi="Times New Roman"/>
          <w:b/>
          <w:noProof/>
        </w:rPr>
        <w:t xml:space="preserve">Care este valoarea adăugată a acțiunii la nivelul UE? </w:t>
      </w:r>
    </w:p>
    <w:p>
      <w:pPr>
        <w:jc w:val="both"/>
        <w:rPr>
          <w:rFonts w:ascii="Times New Roman" w:hAnsi="Times New Roman" w:cs="Times New Roman"/>
          <w:noProof/>
        </w:rPr>
      </w:pPr>
      <w:r>
        <w:rPr>
          <w:rFonts w:ascii="Times New Roman" w:hAnsi="Times New Roman"/>
          <w:noProof/>
        </w:rPr>
        <w:t xml:space="preserve">Acțiunea la nivelul UE aduce o valoare adăugată semnificativă prin asigurarea unei verificări transfrontaliere fără sincope a drepturilor în materie de securitate socială și a statutului de asigurat. Astfel, se vor îmbunătăți condițiile pentru lucrătorii care se mută în interiorul UE și se va sprijini libera circulație a persoanelor pentru studii, călătorii, stabilirea reședinței sau afaceri. Dat fiind caracterul transfrontalier al problemelor identificate, acestea pot fi soluționate în mod eficace numai prin intervenția la nivelul UE, nu prin eforturile individuale ale statelor membre. O acțiune la nivelul UE va permite alinierea la alte inițiative digitale ale UE, cum ar fi Regulamentul privind portalul digital unic și cadrul european pentru identitatea digitală, asigurând eficiența și sinergiile necesare și contribuind la crearea unui peisaj digital coerent la nivelul UE. Acțiunea la nivelul UE va preveni fragmentarea care ar putea apărea dacă statele </w:t>
      </w:r>
      <w:r>
        <w:rPr>
          <w:rFonts w:ascii="Times New Roman" w:hAnsi="Times New Roman"/>
          <w:noProof/>
        </w:rPr>
        <w:lastRenderedPageBreak/>
        <w:t>membre ar dezvolta sisteme diferite, ceea ce ar duce la rezultate sub nivelul optim și la costuri de remediere potențial mai mari.</w:t>
      </w:r>
    </w:p>
    <w:p>
      <w:pPr>
        <w:pStyle w:val="ListParagraph"/>
        <w:numPr>
          <w:ilvl w:val="0"/>
          <w:numId w:val="1"/>
        </w:numPr>
        <w:spacing w:after="200" w:line="276" w:lineRule="auto"/>
        <w:jc w:val="both"/>
        <w:rPr>
          <w:rFonts w:ascii="Times New Roman" w:hAnsi="Times New Roman" w:cs="Times New Roman"/>
          <w:b/>
          <w:bCs/>
          <w:noProof/>
        </w:rPr>
      </w:pPr>
      <w:r>
        <w:rPr>
          <w:rFonts w:ascii="Times New Roman" w:hAnsi="Times New Roman"/>
          <w:b/>
          <w:noProof/>
        </w:rPr>
        <w:t xml:space="preserve">Opțiuni de politică </w:t>
      </w:r>
    </w:p>
    <w:p>
      <w:pPr>
        <w:jc w:val="both"/>
        <w:rPr>
          <w:rFonts w:ascii="Times New Roman" w:hAnsi="Times New Roman" w:cs="Times New Roman"/>
          <w:b/>
          <w:bCs/>
          <w:noProof/>
        </w:rPr>
      </w:pPr>
      <w:r>
        <w:rPr>
          <w:rFonts w:ascii="Times New Roman" w:hAnsi="Times New Roman"/>
          <w:b/>
          <w:noProof/>
        </w:rPr>
        <w:t>Ce opțiuni de politică legislative și nelegislative au fost luate în considerare? Există o opțiune preferată? De ce?</w:t>
      </w:r>
    </w:p>
    <w:p>
      <w:pPr>
        <w:jc w:val="both"/>
        <w:rPr>
          <w:rFonts w:ascii="Times New Roman" w:hAnsi="Times New Roman" w:cs="Times New Roman"/>
          <w:noProof/>
        </w:rPr>
      </w:pPr>
      <w:r>
        <w:rPr>
          <w:rFonts w:ascii="Times New Roman" w:hAnsi="Times New Roman"/>
          <w:noProof/>
        </w:rPr>
        <w:t xml:space="preserve">Inițiativa privind Pașaportul european de securitate socială (ESSPASS) urmărește să cuprindă toate documentele portabile și cardul european de asigurări sociale de sănătate (CEASS), printr-o abordare etapizată, începând cu documentul portabil A1, care atestă legislația în materie de securitate socială aplicabilă în situații transfrontaliere și cu CEASS, pentru care fezabilitatea tehnică și relevanța au fost demonstrate prin activități-pilot. </w:t>
      </w:r>
    </w:p>
    <w:p>
      <w:pPr>
        <w:jc w:val="both"/>
        <w:rPr>
          <w:rFonts w:ascii="Times New Roman" w:hAnsi="Times New Roman" w:cs="Times New Roman"/>
          <w:noProof/>
        </w:rPr>
      </w:pPr>
      <w:r>
        <w:rPr>
          <w:rFonts w:ascii="Times New Roman" w:hAnsi="Times New Roman"/>
          <w:noProof/>
        </w:rPr>
        <w:t>Au fost evaluate trei opțiuni de politică, pe baza rezultatelor acestor activități-pilot și a informațiilor furnizate de părțile interesate.</w:t>
      </w:r>
    </w:p>
    <w:p>
      <w:pPr>
        <w:jc w:val="both"/>
        <w:rPr>
          <w:rFonts w:ascii="Times New Roman" w:hAnsi="Times New Roman" w:cs="Times New Roman"/>
          <w:noProof/>
        </w:rPr>
      </w:pPr>
      <w:r>
        <w:rPr>
          <w:rFonts w:ascii="Times New Roman" w:hAnsi="Times New Roman"/>
          <w:b/>
          <w:noProof/>
        </w:rPr>
        <w:t>Opțiunea de politică 1</w:t>
      </w:r>
      <w:r>
        <w:rPr>
          <w:rFonts w:ascii="Times New Roman" w:hAnsi="Times New Roman"/>
          <w:noProof/>
        </w:rPr>
        <w:t xml:space="preserve"> instituie o soluție care să îmbunătățească formatul existent al documentelor portabile și al CEASS și să permită verificarea acestora la nivel transfrontalier. Această opțiune presupune eliberarea documentelor într-un format standardizat, cu elemente de securitate, care pot fi fie tipărite, fie stocate electronic.</w:t>
      </w:r>
    </w:p>
    <w:p>
      <w:pPr>
        <w:jc w:val="both"/>
        <w:rPr>
          <w:rFonts w:ascii="Times New Roman" w:hAnsi="Times New Roman" w:cs="Times New Roman"/>
          <w:noProof/>
        </w:rPr>
      </w:pPr>
      <w:r>
        <w:rPr>
          <w:rFonts w:ascii="Times New Roman" w:hAnsi="Times New Roman"/>
          <w:b/>
          <w:noProof/>
        </w:rPr>
        <w:t>Opțiunea de politică 2</w:t>
      </w:r>
      <w:r>
        <w:rPr>
          <w:rFonts w:ascii="Times New Roman" w:hAnsi="Times New Roman"/>
          <w:noProof/>
        </w:rPr>
        <w:t xml:space="preserve"> introduce o soluție pentru eliberarea și verificarea instantanee a documentelor portabile și a CEASS, bazată pe cadrul EUDI. Persoanele fizice și întreprinderile vor putea stoca în condiții de siguranță aceste documente ca atestări electronice standardizate ale atributelor în portofelele lor EUDI. Dacă nu pot sau preferă să nu utilizeze portofelul EUDI, documentele în format fizic neîmbunătățite vor rămâne disponibile. </w:t>
      </w:r>
    </w:p>
    <w:p>
      <w:pPr>
        <w:jc w:val="both"/>
        <w:rPr>
          <w:rFonts w:ascii="Times New Roman" w:hAnsi="Times New Roman" w:cs="Times New Roman"/>
          <w:noProof/>
        </w:rPr>
      </w:pPr>
      <w:r>
        <w:rPr>
          <w:rFonts w:ascii="Times New Roman" w:hAnsi="Times New Roman"/>
          <w:b/>
          <w:noProof/>
        </w:rPr>
        <w:t>Opțiunea de politică 3</w:t>
      </w:r>
      <w:r>
        <w:rPr>
          <w:rFonts w:ascii="Times New Roman" w:hAnsi="Times New Roman"/>
          <w:noProof/>
        </w:rPr>
        <w:t xml:space="preserve"> instituie o soluție care cuprinde aceleași elemente principale ca opțiunea de politică 2. Cu toate acestea, persoanele care nu pot sau preferă să nu utilizeze portofelele EUDI vor putea solicita eliberarea unor documente îmbunătățite, care pot fi verificate și care ar putea fi tipărite (la fel ca în opțiunea de politică 1). </w:t>
      </w:r>
    </w:p>
    <w:p>
      <w:pPr>
        <w:jc w:val="both"/>
        <w:rPr>
          <w:rFonts w:ascii="Times New Roman" w:hAnsi="Times New Roman" w:cs="Times New Roman"/>
          <w:noProof/>
        </w:rPr>
      </w:pPr>
      <w:r>
        <w:rPr>
          <w:rFonts w:ascii="Times New Roman" w:hAnsi="Times New Roman"/>
          <w:b/>
          <w:noProof/>
        </w:rPr>
        <w:t>Opțiunea de politică 3</w:t>
      </w:r>
      <w:r>
        <w:rPr>
          <w:rFonts w:ascii="Times New Roman" w:hAnsi="Times New Roman"/>
          <w:noProof/>
        </w:rPr>
        <w:t xml:space="preserve"> este opțiunea preferată, deoarece este cea mai eficace în atingerea obiectivelor, din perspectiva costurilor și beneficiilor și asigură cel mai înalt nivel de coerență cu alte politici ale UE. Aceasta respectă pe deplin principiile de bază ale guvernării electronice: (i) digital în mod implicit, (ii) principiul „doar o singură dată”, (iii) interoperabilitatea din faza de proiectare, (iv) abordarea centrată pe utilizator, (v) incluziunea și accesibilitatea, (vi) credibilitatea și securitatea, (vii) caracterul transfrontalier implicit. </w:t>
      </w:r>
    </w:p>
    <w:p>
      <w:pPr>
        <w:jc w:val="both"/>
        <w:rPr>
          <w:rFonts w:ascii="Times New Roman" w:hAnsi="Times New Roman" w:cs="Times New Roman"/>
          <w:noProof/>
        </w:rPr>
      </w:pPr>
      <w:r>
        <w:rPr>
          <w:rFonts w:ascii="Times New Roman" w:hAnsi="Times New Roman"/>
          <w:noProof/>
        </w:rPr>
        <w:t>Având în vedere caracterul transfrontalier al dificultăților identificate, necesitatea de a preveni fragmentarea reglementărilor și de a asigura o punere în aplicare rapidă, astfel cum au solicitat principalele părți interesate, se consideră că un regulament este un instrument adecvat, proporțional și eficace pentru atingerea obiectivelor inițiativei, în concordanță cu temeiul juridic identificat. Un astfel de regulament va cuprinde inițiative de digitalizare pentru punerea în aplicare a normelor de coordonare a securității sociale și se va baza pe un comitet care să asiste Comisia în exercitarea competențelor sale de punere în aplicare.</w:t>
      </w:r>
    </w:p>
    <w:p>
      <w:pPr>
        <w:jc w:val="both"/>
        <w:rPr>
          <w:rFonts w:ascii="Times New Roman" w:hAnsi="Times New Roman" w:cs="Times New Roman"/>
          <w:b/>
          <w:bCs/>
          <w:noProof/>
        </w:rPr>
      </w:pPr>
      <w:r>
        <w:rPr>
          <w:rFonts w:ascii="Times New Roman" w:hAnsi="Times New Roman"/>
          <w:b/>
          <w:noProof/>
        </w:rPr>
        <w:lastRenderedPageBreak/>
        <w:t>Cine sunt susținătorii fiecărei opțiuni?</w:t>
      </w:r>
    </w:p>
    <w:p>
      <w:pPr>
        <w:jc w:val="both"/>
        <w:rPr>
          <w:rFonts w:ascii="Times New Roman" w:hAnsi="Times New Roman" w:cs="Times New Roman"/>
          <w:noProof/>
        </w:rPr>
      </w:pPr>
      <w:r>
        <w:rPr>
          <w:rFonts w:ascii="Times New Roman" w:hAnsi="Times New Roman"/>
          <w:noProof/>
        </w:rPr>
        <w:t xml:space="preserve">Opțiunea de politică 3 beneficiază de cel mai larg sprijin în rândul diferitelor grupuri de părți interesate, inclusiv al autorităților naționale, al întreprinderilor, al sindicatelor și al persoanelor fizice. Există un larg consens cu privire la necesitatea de a utiliza cadrul EUDI și portofelele EUDI, oferind în același timp alternative celor care aleg să nu utilizeze aceste portofele, sub forma unor documente îmbunătățite care pot fi verificate și a căror valabilitate poate fi revocată chiar și după tipărire. </w:t>
      </w:r>
    </w:p>
    <w:p>
      <w:pPr>
        <w:jc w:val="both"/>
        <w:rPr>
          <w:rFonts w:ascii="Times New Roman" w:hAnsi="Times New Roman" w:cs="Times New Roman"/>
          <w:noProof/>
        </w:rPr>
      </w:pPr>
      <w:r>
        <w:rPr>
          <w:rFonts w:ascii="Times New Roman" w:hAnsi="Times New Roman"/>
          <w:noProof/>
        </w:rPr>
        <w:t xml:space="preserve">Statele membre recunosc necesitatea unei acțiuni la nivelul UE și convin că o inițiativă cu caracter obligatoriu este adecvată pentru soluționarea problemelor identificate. Parlamentul European a solicitat, de asemenea, printr-o rezoluție din 2021, o propunere legislativă pentru implementarea rapidă și la scară largă a ESSPASS. </w:t>
      </w:r>
    </w:p>
    <w:p>
      <w:pPr>
        <w:pStyle w:val="ListParagraph"/>
        <w:numPr>
          <w:ilvl w:val="0"/>
          <w:numId w:val="1"/>
        </w:numPr>
        <w:spacing w:after="200" w:line="276" w:lineRule="auto"/>
        <w:jc w:val="both"/>
        <w:rPr>
          <w:rFonts w:ascii="Times New Roman" w:hAnsi="Times New Roman" w:cs="Times New Roman"/>
          <w:b/>
          <w:bCs/>
          <w:noProof/>
        </w:rPr>
      </w:pPr>
      <w:r>
        <w:rPr>
          <w:rFonts w:ascii="Times New Roman" w:hAnsi="Times New Roman"/>
          <w:b/>
          <w:noProof/>
        </w:rPr>
        <w:t xml:space="preserve">Impactul opțiunii preferate </w:t>
      </w:r>
    </w:p>
    <w:p>
      <w:pPr>
        <w:jc w:val="both"/>
        <w:rPr>
          <w:rFonts w:ascii="Times New Roman" w:hAnsi="Times New Roman" w:cs="Times New Roman"/>
          <w:b/>
          <w:bCs/>
          <w:noProof/>
        </w:rPr>
      </w:pPr>
      <w:r>
        <w:rPr>
          <w:rFonts w:ascii="Times New Roman" w:hAnsi="Times New Roman"/>
          <w:b/>
          <w:noProof/>
        </w:rPr>
        <w:t>Care sunt avantajele opțiunii preferate?</w:t>
      </w:r>
    </w:p>
    <w:p>
      <w:pPr>
        <w:jc w:val="both"/>
        <w:rPr>
          <w:rFonts w:ascii="Times New Roman" w:hAnsi="Times New Roman" w:cs="Times New Roman"/>
          <w:noProof/>
        </w:rPr>
      </w:pPr>
      <w:r>
        <w:rPr>
          <w:rFonts w:ascii="Times New Roman" w:hAnsi="Times New Roman"/>
          <w:noProof/>
        </w:rPr>
        <w:t xml:space="preserve">Opțiunea preferată reduce dependența de procesele bazate pe documente pe suport de hârtie, prin proceduri standardizate și simplificate pentru eliberarea și verificarea documentelor portabile și a CEASS la nivel transfrontalier. Astfel, se facilitează recunoașterea pe scară largă a documentelor în UE și se oferă posibilitatea de a alege modalitatea de stocare și prezentare a datelor. </w:t>
      </w:r>
    </w:p>
    <w:p>
      <w:pPr>
        <w:jc w:val="both"/>
        <w:rPr>
          <w:rFonts w:ascii="Times New Roman" w:hAnsi="Times New Roman" w:cs="Times New Roman"/>
          <w:noProof/>
        </w:rPr>
      </w:pPr>
      <w:r>
        <w:rPr>
          <w:rFonts w:ascii="Times New Roman" w:hAnsi="Times New Roman"/>
          <w:noProof/>
        </w:rPr>
        <w:t xml:space="preserve">Se estimează că punerea în aplicare va aduce beneficii semnificative persoanelor fizice, autorităților naționale, inspectoratelor de muncă, furnizorilor de servicii medicale și întreprinderilor. Printre aceste avantaje se numără reducerea timpului de verificare: câteva secunde pentru documentele stocate în portofelele EUDI și aproximativ un minut pentru documentele care nu sunt stocate în aceste portofele, comparativ cu durata actuală de 5-16 minute pentru documentul portabil A1 și de 2 până la 5 minute pentru CEASS. Pentru documentul portabil A1, aceasta înseamnă economii de costuri cuprinse între 24 și 72 de milioane de euro pentru verificatori (de exemplu, inspectoratele de muncă) și între 21 și 64 de milioane de euro pentru întreprinderi, pe o perioadă de 12 ani. În ceea ce privește CEASS, estimările privind economiile furnizorilor de servicii medicale variază între 23 și 69 de milioane de euro. </w:t>
      </w:r>
    </w:p>
    <w:p>
      <w:pPr>
        <w:jc w:val="both"/>
        <w:rPr>
          <w:rFonts w:ascii="Times New Roman" w:hAnsi="Times New Roman" w:cs="Times New Roman"/>
          <w:noProof/>
        </w:rPr>
      </w:pPr>
      <w:r>
        <w:rPr>
          <w:rFonts w:ascii="Times New Roman" w:hAnsi="Times New Roman"/>
          <w:noProof/>
        </w:rPr>
        <w:t xml:space="preserve">Utilizarea documentelor semnate digital cu o semnătură electronică calificată și verificarea instantanee vor spori în mod semnificativ securitatea, făcând falsificarea aproape imposibilă în comparație cu situația actuală. Economiile potențiale de costuri care rezultă din reducerea fraudei sunt estimate la până la 157 de milioane de euro pentru documentul portabil A1 și la până la 120 de milioane de euro pentru CEASS, pe o perioadă de 12 ani. Totodată, se preconizează că opțiunea preferată va reduce utilizarea plasticului cu până la 1 482 de tone. Această reducere ar trebui să genereze economii de costuri de până la 161 de milioane de euro pe parcursul aceleiași perioade. </w:t>
      </w:r>
    </w:p>
    <w:p>
      <w:pPr>
        <w:jc w:val="both"/>
        <w:rPr>
          <w:rFonts w:ascii="Times New Roman" w:hAnsi="Times New Roman" w:cs="Times New Roman"/>
          <w:noProof/>
        </w:rPr>
      </w:pPr>
      <w:r>
        <w:rPr>
          <w:rFonts w:ascii="Times New Roman" w:hAnsi="Times New Roman"/>
          <w:noProof/>
        </w:rPr>
        <w:t xml:space="preserve">Beneficiile sociale includ creșterea transparenței și a echității condițiilor de muncă, prin asigurarea faptului că lucrătorii primesc direct documentele portabile A1, ceea ce facilitează o </w:t>
      </w:r>
      <w:r>
        <w:rPr>
          <w:rFonts w:ascii="Times New Roman" w:hAnsi="Times New Roman"/>
          <w:noProof/>
        </w:rPr>
        <w:lastRenderedPageBreak/>
        <w:t xml:space="preserve">mai bună înțelegere a drepturilor lor și reduce frauda. Opțiunea îmbunătățește coordonarea sistemelor de securitate socială, facilitând accesul la prestații și la asistență medicală, și promovează încrederea, echitatea și protecția datelor, oferind utilizatorilor control asupra datelor lor, reducând la minimum expunerea acestora și asigurând prelucrarea datelor cu caracter personal în conformitate cu RGPD. Opțiunea preferată sprijină competitivitatea prin simplificarea procedurilor pentru întreprinderile care își desfășoară activitatea la nivel transfrontalier și prin progresele în materie de digitalizare și inovare, promovând incluziunea și accesibilitatea fără a adânci decalajul digital. </w:t>
      </w:r>
    </w:p>
    <w:p>
      <w:pPr>
        <w:jc w:val="both"/>
        <w:rPr>
          <w:rFonts w:ascii="Times New Roman" w:hAnsi="Times New Roman" w:cs="Times New Roman"/>
          <w:noProof/>
        </w:rPr>
      </w:pPr>
      <w:r>
        <w:rPr>
          <w:rFonts w:ascii="Times New Roman" w:hAnsi="Times New Roman"/>
          <w:noProof/>
        </w:rPr>
        <w:t xml:space="preserve">Utilizarea portofelelor EUDI pentru a stoca și a partaja documente cu o largă circulație, cum ar fi CEASS, va accelera considerabil adoptarea acestor portofele, contribuind la dezvoltarea unui ecosistem mai amplu al economiei digitale și punând bazele integrării viitoare, prin intermediul legislației sectoriale, a unor documente suplimentare relevante pentru mobilitatea forței de muncă. </w:t>
      </w:r>
    </w:p>
    <w:p>
      <w:pPr>
        <w:jc w:val="both"/>
        <w:rPr>
          <w:rFonts w:ascii="Times New Roman" w:hAnsi="Times New Roman" w:cs="Times New Roman"/>
          <w:noProof/>
        </w:rPr>
      </w:pPr>
      <w:r>
        <w:rPr>
          <w:noProof/>
        </w:rPr>
        <w:t xml:space="preserve"> </w:t>
      </w:r>
      <w:r>
        <w:rPr>
          <w:noProof/>
        </w:rPr>
        <w:br/>
      </w:r>
      <w:r>
        <w:rPr>
          <w:rFonts w:ascii="Times New Roman" w:hAnsi="Times New Roman"/>
          <w:b/>
          <w:noProof/>
        </w:rPr>
        <w:t>Care sunt costurile opțiunii preferate?</w:t>
      </w:r>
    </w:p>
    <w:p>
      <w:pPr>
        <w:jc w:val="both"/>
        <w:rPr>
          <w:rFonts w:ascii="Times New Roman" w:hAnsi="Times New Roman" w:cs="Times New Roman"/>
          <w:noProof/>
        </w:rPr>
      </w:pPr>
      <w:r>
        <w:rPr>
          <w:rFonts w:ascii="Times New Roman" w:hAnsi="Times New Roman"/>
          <w:noProof/>
        </w:rPr>
        <w:t xml:space="preserve">Opțiunea preferată presupune investiții inițiale și costuri anuale de întreținere, suportate în principal de administrațiile publice naționale, inclusiv de ministere, organismele de securitate socială și inspectorii de muncă, precum și de furnizorii de servicii medicale. Se preconizează că persoanele fizice și întreprinderile vor suporta cheltuieli minime, în principal legate de utilizarea telefoanelor inteligente pentru portofelele EUDI, a căror introducere este deja prevăzută. </w:t>
      </w:r>
    </w:p>
    <w:p>
      <w:pPr>
        <w:jc w:val="both"/>
        <w:rPr>
          <w:rFonts w:ascii="Times New Roman" w:hAnsi="Times New Roman" w:cs="Times New Roman"/>
          <w:noProof/>
        </w:rPr>
      </w:pPr>
      <w:r>
        <w:rPr>
          <w:rFonts w:ascii="Times New Roman" w:hAnsi="Times New Roman"/>
          <w:noProof/>
        </w:rPr>
        <w:t>În ansamblu, estimările privind costurile totale nerecurente la nivelul UE, pe o perioadă de trei ani, variază între 186 și 218 milioane de euro, iar costurile recurente cumulate s-ar ridica la 278 de milioane de euro în următorii 12 ani (23,2 milioane de euro anual). Aceste costuri reflectă eforturile necesare pentru dezvoltarea infrastructurii și integrarea acesteia, compensate de eficiența sporită și economiile de costuri preconizate pe termen lung.</w:t>
      </w:r>
    </w:p>
    <w:p>
      <w:pPr>
        <w:jc w:val="both"/>
        <w:rPr>
          <w:rFonts w:ascii="Times New Roman" w:hAnsi="Times New Roman" w:cs="Times New Roman"/>
          <w:b/>
          <w:bCs/>
          <w:noProof/>
        </w:rPr>
      </w:pPr>
      <w:r>
        <w:rPr>
          <w:rFonts w:ascii="Times New Roman" w:hAnsi="Times New Roman"/>
          <w:b/>
          <w:noProof/>
        </w:rPr>
        <w:t>Cum vor fi afectate întreprinderile și IMM-urile?</w:t>
      </w:r>
    </w:p>
    <w:p>
      <w:pPr>
        <w:jc w:val="both"/>
        <w:rPr>
          <w:rFonts w:ascii="Times New Roman" w:hAnsi="Times New Roman" w:cs="Times New Roman"/>
          <w:noProof/>
        </w:rPr>
      </w:pPr>
      <w:r>
        <w:rPr>
          <w:rFonts w:ascii="Times New Roman" w:hAnsi="Times New Roman"/>
          <w:noProof/>
        </w:rPr>
        <w:t xml:space="preserve">Inițiativa va avea un impact pozitiv asupra întreprinderilor de pe piața unică, în special asupra celor care detașează temporar lucrători în străinătate sau angajează lucrători care își desfășoară activitatea în două sau mai multe state membre. Prin facilitarea verificării, stabilirea unor termene pentru eliberarea documentelor portabile și promovarea convergenței cerințelor în materie de informații între statele membre, aceasta va simplifica procesele de asigurare a conformității și va îmbunătăți eficiența. Astfel, se vor scurta perioadele de așteptare și se va reduce transmiterea repetată a acelorași informații. IMM-urile, care reprezintă 99 % din întreprinderile din UE, se confruntă, de regulă, cu dificultăți mai mari în îndeplinirea cerințelor de reglementare, din cauza capacității lor administrative limitate. Prin urmare, se preconizează că acestea vor beneficia mai mult de pe urma inițiativei decât întreprinderile mai mari, în special în sectoare precum construcțiile și serviciile, în care detașarea lucrătorilor și desfășurarea de activități în două sau mai multe state membre sunt mai frecvente. </w:t>
      </w:r>
    </w:p>
    <w:p>
      <w:pPr>
        <w:keepNext/>
        <w:keepLines/>
        <w:jc w:val="both"/>
        <w:rPr>
          <w:rFonts w:ascii="Times New Roman" w:hAnsi="Times New Roman" w:cs="Times New Roman"/>
          <w:b/>
          <w:bCs/>
          <w:noProof/>
        </w:rPr>
      </w:pPr>
      <w:r>
        <w:rPr>
          <w:rFonts w:ascii="Times New Roman" w:hAnsi="Times New Roman"/>
          <w:b/>
          <w:noProof/>
        </w:rPr>
        <w:lastRenderedPageBreak/>
        <w:t>Va exista un impact semnificativ asupra bugetelor și a administrațiilor naționale?</w:t>
      </w:r>
    </w:p>
    <w:p>
      <w:pPr>
        <w:spacing w:after="0"/>
        <w:jc w:val="both"/>
        <w:rPr>
          <w:rFonts w:ascii="Times New Roman" w:hAnsi="Times New Roman" w:cs="Times New Roman"/>
          <w:noProof/>
        </w:rPr>
      </w:pPr>
      <w:r>
        <w:rPr>
          <w:rFonts w:ascii="Times New Roman" w:hAnsi="Times New Roman"/>
          <w:noProof/>
        </w:rPr>
        <w:t xml:space="preserve">Bugetele naționale vor suporta costurile de implementare și întreținere a soluției digitale. Cu toate acestea, instituțiile publice și furnizorii de servicii medicale vor beneficia pe termen mai lung de economii de costuri, de o eficiență sporită și de creșterea încrederii și a transparenței. Inițiativa valorifică eforturile depuse în prezent de statele membre pentru punerea în aplicare a altor inițiative relevante, în special Regulamentul privind portalul digital unic și cadrul EUDI, ceea ce sporește eficiența din punctul de vedere al costurilor. </w:t>
      </w:r>
    </w:p>
    <w:p>
      <w:pPr>
        <w:spacing w:after="0"/>
        <w:jc w:val="both"/>
        <w:rPr>
          <w:rFonts w:ascii="Times New Roman" w:eastAsia="Times New Roman" w:hAnsi="Times New Roman" w:cs="Times New Roman"/>
          <w:noProof/>
          <w:lang w:eastAsia="en-IE"/>
        </w:rPr>
      </w:pPr>
    </w:p>
    <w:p>
      <w:pPr>
        <w:pStyle w:val="ListParagraph"/>
        <w:numPr>
          <w:ilvl w:val="0"/>
          <w:numId w:val="1"/>
        </w:numPr>
        <w:spacing w:after="200" w:line="276" w:lineRule="auto"/>
        <w:jc w:val="both"/>
        <w:rPr>
          <w:rFonts w:ascii="Times New Roman" w:hAnsi="Times New Roman" w:cs="Times New Roman"/>
          <w:b/>
          <w:bCs/>
          <w:noProof/>
        </w:rPr>
      </w:pPr>
      <w:r>
        <w:rPr>
          <w:rFonts w:ascii="Times New Roman" w:hAnsi="Times New Roman"/>
          <w:b/>
          <w:noProof/>
        </w:rPr>
        <w:t xml:space="preserve">Acțiuni ulterioare </w:t>
      </w:r>
    </w:p>
    <w:p>
      <w:pPr>
        <w:jc w:val="both"/>
        <w:rPr>
          <w:rFonts w:ascii="Times New Roman" w:hAnsi="Times New Roman" w:cs="Times New Roman"/>
          <w:b/>
          <w:bCs/>
          <w:noProof/>
        </w:rPr>
      </w:pPr>
      <w:r>
        <w:rPr>
          <w:rFonts w:ascii="Times New Roman" w:hAnsi="Times New Roman"/>
          <w:b/>
          <w:noProof/>
        </w:rPr>
        <w:t>Când va fi reexaminată politica?</w:t>
      </w:r>
    </w:p>
    <w:p>
      <w:pPr>
        <w:jc w:val="both"/>
        <w:rPr>
          <w:rFonts w:ascii="Times New Roman" w:hAnsi="Times New Roman" w:cs="Times New Roman"/>
          <w:b/>
          <w:bCs/>
          <w:noProof/>
        </w:rPr>
      </w:pPr>
      <w:r>
        <w:rPr>
          <w:rFonts w:ascii="Times New Roman" w:hAnsi="Times New Roman"/>
          <w:noProof/>
        </w:rPr>
        <w:t>În conformitate cu Orientările privind o mai bună legiferare, Comisia va evalua inițiativa nu mai devreme de șapte ani de la intrarea sa în vigoare, în cooperare cu statele membre și după consultarea părților interesate vizate.</w:t>
      </w:r>
    </w:p>
    <w:p>
      <w:pPr>
        <w:rPr>
          <w:noProof/>
        </w:rPr>
      </w:pP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100745"/>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1</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56603C"/>
    <w:multiLevelType w:val="hybridMultilevel"/>
    <w:tmpl w:val="5116389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ACCOMPAGNANT.CP" w:val="care înso\u355?e\u351?te documentul"/>
    <w:docVar w:name="LW_CORRIGENDUM" w:val="&lt;UNUSED&gt;"/>
    <w:docVar w:name="LW_COVERPAGE_EXISTS" w:val="True"/>
    <w:docVar w:name="LW_COVERPAGE_GUID" w:val="2B3D460B-06E1-4729-8893-05D8CAD694B6"/>
    <w:docVar w:name="LW_COVERPAGE_TYPE" w:val="1"/>
    <w:docVar w:name="LW_CROSSREFERENCE" w:val="{COM(2026) 980 final} - {SEC(2026) 980 final} - {SWD(2026) 981 final} - {SWD(2026) 982 final}"/>
    <w:docVar w:name="LW_DocType" w:val="NORMAL"/>
    <w:docVar w:name="LW_EMISSION" w:val="15.9.2026"/>
    <w:docVar w:name="LW_EMISSION_ISODATE" w:val="2026-09-15"/>
    <w:docVar w:name="LW_EMISSION_LOCATION" w:val="STR"/>
    <w:docVar w:name="LW_EMISSION_PREFIX" w:val="Strasbourg, "/>
    <w:docVar w:name="LW_EMISSION_SUFFIX" w:val=" "/>
    <w:docVar w:name="LW_ID_DOCTYPE_NONLW" w:val="CP-027"/>
    <w:docVar w:name="LW_LANGUE" w:val="RO"/>
    <w:docVar w:name="LW_LEVEL_OF_SENSITIVITY" w:val="Standard treatment"/>
    <w:docVar w:name="LW_NOM.INST" w:val="COMISIA EUROPEAN\u258?"/>
    <w:docVar w:name="LW_NOM.INST_JOINTDOC" w:val="&lt;EMPTY&gt;"/>
    <w:docVar w:name="LW_OBJETACTEPRINCIPAL.CP" w:val="privind digitalizarea coordon\u259?rii sistemelor de securitate social\u259?, de stabilire a unui cadru pentru Pa\u537?aportul european de securitate social\u259? (ESSPASS) \u537?i de modificare a Regulamentelor (CE) nr. 883/2004, (CE) nr. 987/2009 \u537?i (UE) 2018/1724"/>
    <w:docVar w:name="LW_PART_NBR" w:val="1"/>
    <w:docVar w:name="LW_PART_NBR_TOTAL" w:val="1"/>
    <w:docVar w:name="LW_REF.INST.NEW" w:val="SWD"/>
    <w:docVar w:name="LW_REF.INST.NEW_ADOPTED" w:val="final"/>
    <w:docVar w:name="LW_REF.INST.NEW_TEXT" w:val="(2026) 98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DOCUMENT DE LUCRU AL SERVICIILOR COMISIEI_x000b__x000b_REZUMAT AL RAPORTULUI PRIVIND EVALUAREA IMPACTULUI_x000b_"/>
    <w:docVar w:name="LW_TYPEACTEPRINCIPAL.CP" w:val="Propunere de _x000b__x000b_REGULAMENT AL PARLAMENTULUI EUROPEAN \u536?I AL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E91ABD5E-532C-4CF1-A317-8D193F0BF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Hyperlink">
    <w:name w:val="Hyperlink"/>
    <w:aliases w:val="Sommario 0"/>
    <w:basedOn w:val="DefaultParagraphFont"/>
    <w:uiPriority w:val="99"/>
    <w:unhideWhenUsed/>
    <w:rPr>
      <w:color w:val="467886"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line="240" w:lineRule="auto"/>
    </w:pPr>
    <w:rPr>
      <w:kern w:val="0"/>
      <w:sz w:val="20"/>
      <w:szCs w:val="20"/>
      <w14:ligatures w14:val="none"/>
    </w:rPr>
  </w:style>
  <w:style w:type="character" w:customStyle="1" w:styleId="CommentTextChar">
    <w:name w:val="Comment Text Char"/>
    <w:basedOn w:val="DefaultParagraphFont"/>
    <w:link w:val="CommentText"/>
    <w:uiPriority w:val="99"/>
    <w:rPr>
      <w:kern w:val="0"/>
      <w:sz w:val="20"/>
      <w:szCs w:val="20"/>
      <w:lang w:val="ro-RO"/>
      <w14:ligatures w14:val="none"/>
    </w:rPr>
  </w:style>
  <w:style w:type="character" w:styleId="FollowedHyperlink">
    <w:name w:val="FollowedHyperlink"/>
    <w:basedOn w:val="DefaultParagraphFont"/>
    <w:uiPriority w:val="99"/>
    <w:semiHidden/>
    <w:unhideWhenUse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employment-social-affairs.ec.europa.eu/policies-and-activities/moving-working-europe/eu-social-security-coordination/european-health-insurance-card_ro"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s://europa.eu/youreurope/citizens/work/social-security-and-benefits/social-security-forms/index_ro.ht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6.xml"/><Relationship Id="rId10" Type="http://schemas.openxmlformats.org/officeDocument/2006/relationships/image" Target="media/image1.emf"/><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b6c068c-bc2d-4620-b517-6a4d82a7e161">
      <Terms xmlns="http://schemas.microsoft.com/office/infopath/2007/PartnerControls"/>
    </lcf76f155ced4ddcb4097134ff3c332f>
    <TaxCatchAll xmlns="604b4288-15a6-4b36-801c-a9875e40b072" xsi:nil="true"/>
    <Domaine xmlns="fb6c068c-bc2d-4620-b517-6a4d82a7e161">
      <Value>EC internal</Value>
    </Domaine>
    <_ip_UnifiedCompliancePolicyUIAction xmlns="http://schemas.microsoft.com/sharepoint/v3" xsi:nil="true"/>
    <Casehandler_x002f_responsible xmlns="fb6c068c-bc2d-4620-b517-6a4d82a7e161">
      <Value>Simona</Value>
    </Casehandler_x002f_responsible>
    <SensitivitySSC xmlns="fb6c068c-bc2d-4620-b517-6a4d82a7e161">Commission use</SensitivitySSC>
    <Link xmlns="fb6c068c-bc2d-4620-b517-6a4d82a7e161">
      <Url xsi:nil="true"/>
      <Description xsi:nil="true"/>
    </Link>
    <Area xmlns="fb6c068c-bc2d-4620-b517-6a4d82a7e161">
      <Value>ESSPASS-EUwallet</Value>
    </Area>
    <Documenttype xmlns="fb6c068c-bc2d-4620-b517-6a4d82a7e161">Legal act</Documenttype>
    <_ip_UnifiedCompliancePolicyProperties xmlns="http://schemas.microsoft.com/sharepoint/v3" xsi:nil="true"/>
    <Docstatus xmlns="fb6c068c-bc2d-4620-b517-6a4d82a7e161">Draft</Docstatus>
    <CountrySSC xmlns="fb6c068c-bc2d-4620-b517-6a4d82a7e161">
      <Value>EU</Value>
    </CountrySSC>
    <Year_x0028_s_x0029_ xmlns="fb6c068c-bc2d-4620-b517-6a4d82a7e161">2026</Year_x0028_s_x0029_>
    <Reference_x002d_keywords xmlns="fb6c068c-bc2d-4620-b517-6a4d82a7e16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20D94BF79903409A44EFD8C6ED4DE5" ma:contentTypeVersion="35" ma:contentTypeDescription="Create a new document." ma:contentTypeScope="" ma:versionID="95aeff1d65c00f464c807c49d2af2e6a">
  <xsd:schema xmlns:xsd="http://www.w3.org/2001/XMLSchema" xmlns:xs="http://www.w3.org/2001/XMLSchema" xmlns:p="http://schemas.microsoft.com/office/2006/metadata/properties" xmlns:ns1="http://schemas.microsoft.com/sharepoint/v3" xmlns:ns2="fb6c068c-bc2d-4620-b517-6a4d82a7e161" xmlns:ns3="604b4288-15a6-4b36-801c-a9875e40b072" targetNamespace="http://schemas.microsoft.com/office/2006/metadata/properties" ma:root="true" ma:fieldsID="a46173269f8e64739a56b224cd4ed6ac" ns1:_="" ns2:_="" ns3:_="">
    <xsd:import namespace="http://schemas.microsoft.com/sharepoint/v3"/>
    <xsd:import namespace="fb6c068c-bc2d-4620-b517-6a4d82a7e161"/>
    <xsd:import namespace="604b4288-15a6-4b36-801c-a9875e40b0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SearchProperties" minOccurs="0"/>
                <xsd:element ref="ns2:Domaine" minOccurs="0"/>
                <xsd:element ref="ns2:Area" minOccurs="0"/>
                <xsd:element ref="ns2:MediaServiceLocation" minOccurs="0"/>
                <xsd:element ref="ns2:Documenttype"/>
                <xsd:element ref="ns2:Docstatus"/>
                <xsd:element ref="ns2:CountrySSC" minOccurs="0"/>
                <xsd:element ref="ns2:Casehandler_x002f_responsible" minOccurs="0"/>
                <xsd:element ref="ns2:SensitivitySSC" minOccurs="0"/>
                <xsd:element ref="ns2:Year_x0028_s_x0029_"/>
                <xsd:element ref="ns2:Reference_x002d_keywords" minOccurs="0"/>
                <xsd:element ref="ns2: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6c068c-bc2d-4620-b517-6a4d82a7e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Domaine" ma:index="27" nillable="true" ma:displayName="Gov.body / procedure" ma:format="Dropdown" ma:internalName="Domaine" ma:requiredMultiChoice="true">
      <xsd:complexType>
        <xsd:complexContent>
          <xsd:extension base="dms:MultiChoice">
            <xsd:sequence>
              <xsd:element name="Value" maxOccurs="unbounded" minOccurs="0" nillable="true">
                <xsd:simpleType>
                  <xsd:restriction base="dms:Choice">
                    <xsd:enumeration value="AC"/>
                    <xsd:enumeration value="Access to documents"/>
                    <xsd:enumeration value="Advisory Committee"/>
                    <xsd:enumeration value="Audit Board"/>
                    <xsd:enumeration value="CJEU-EFTA-national courts"/>
                    <xsd:enumeration value="Complaint"/>
                    <xsd:enumeration value="Conciliation Panel"/>
                    <xsd:enumeration value="cooperation with other DGs"/>
                    <xsd:enumeration value="EC internal"/>
                    <xsd:enumeration value="E2 internal"/>
                    <xsd:enumeration value="EDCC"/>
                    <xsd:enumeration value="ELA"/>
                    <xsd:enumeration value="EU-Pilot"/>
                    <xsd:enumeration value="Evaluation"/>
                    <xsd:enumeration value="F&amp;E SC"/>
                    <xsd:enumeration value="Infringement"/>
                    <xsd:enumeration value="Legislation"/>
                    <xsd:enumeration value="Mission"/>
                    <xsd:enumeration value="MOVEs"/>
                    <xsd:enumeration value="NCP network"/>
                    <xsd:enumeration value="Other / n.a."/>
                    <xsd:enumeration value="Parliamentary question"/>
                    <xsd:enumeration value="Petition"/>
                    <xsd:enumeration value="Recruitment"/>
                    <xsd:enumeration value="Revision - legislation"/>
                    <xsd:enumeration value="sectoral AHGs"/>
                    <xsd:enumeration value="SOLVIT"/>
                    <xsd:enumeration value="Specialised committee"/>
                    <xsd:enumeration value="Statistical network"/>
                    <xsd:enumeration value="TC"/>
                    <xsd:enumeration value="Training"/>
                    <xsd:enumeration value="Translation"/>
                    <xsd:enumeration value="Your Europe Advice"/>
                    <xsd:enumeration value="AC-WP"/>
                    <xsd:enumeration value="CCB"/>
                    <xsd:enumeration value="Enlargement"/>
                  </xsd:restriction>
                </xsd:simpleType>
              </xsd:element>
            </xsd:sequence>
          </xsd:extension>
        </xsd:complexContent>
      </xsd:complexType>
    </xsd:element>
    <xsd:element name="Area" ma:index="28" nillable="true" ma:displayName="Area" ma:format="Dropdown" ma:internalName="Area" ma:requiredMultiChoice="true">
      <xsd:complexType>
        <xsd:complexContent>
          <xsd:extension base="dms:MultiChoice">
            <xsd:sequence>
              <xsd:element name="Value" maxOccurs="unbounded" minOccurs="0" nillable="true">
                <xsd:simpleType>
                  <xsd:restriction base="dms:Choice">
                    <xsd:enumeration value="Accidents at work / Occup.disease"/>
                    <xsd:enumeration value="Administration - HR"/>
                    <xsd:enumeration value="Data protection"/>
                    <xsd:enumeration value="Death grants"/>
                    <xsd:enumeration value="EESSI"/>
                    <xsd:enumeration value="ESSPASS-EUwallet"/>
                    <xsd:enumeration value="EU staff"/>
                    <xsd:enumeration value="Family benefits"/>
                    <xsd:enumeration value="Finances"/>
                    <xsd:enumeration value="Fraud&amp;Error"/>
                    <xsd:enumeration value="General enforcement"/>
                    <xsd:enumeration value="International relations"/>
                    <xsd:enumeration value="Invalidity benefits"/>
                    <xsd:enumeration value="Legislation applicable"/>
                    <xsd:enumeration value="Meetings / events"/>
                    <xsd:enumeration value="Old age / survivor's pension"/>
                    <xsd:enumeration value="Other"/>
                    <xsd:enumeration value="Other digital initiatives"/>
                    <xsd:enumeration value="Pre-retirement benefits"/>
                    <xsd:enumeration value="Sickness, maternity &amp; parental benefits"/>
                    <xsd:enumeration value="SNCBs"/>
                    <xsd:enumeration value="SSC horizontal"/>
                    <xsd:enumeration value="Taxation"/>
                    <xsd:enumeration value="Third country nationals"/>
                    <xsd:enumeration value="Unemployment benefits"/>
                    <xsd:enumeration value="Long-term care"/>
                    <xsd:enumeration value="Statistics"/>
                  </xsd:restriction>
                </xsd:simpleType>
              </xsd:element>
            </xsd:sequence>
          </xsd:extension>
        </xsd:complexContent>
      </xsd:complexType>
    </xsd:element>
    <xsd:element name="MediaServiceLocation" ma:index="29" nillable="true" ma:displayName="Location" ma:indexed="true" ma:internalName="MediaServiceLocation" ma:readOnly="true">
      <xsd:simpleType>
        <xsd:restriction base="dms:Text"/>
      </xsd:simpleType>
    </xsd:element>
    <xsd:element name="Documenttype" ma:index="30" ma:displayName="Document type" ma:format="Dropdown" ma:internalName="Documenttype">
      <xsd:simpleType>
        <xsd:restriction base="dms:Choice">
          <xsd:enumeration value="Article"/>
          <xsd:enumeration value="Briefing"/>
          <xsd:enumeration value="Case-law"/>
          <xsd:enumeration value="Communication / email"/>
          <xsd:enumeration value="EC letter / Decision"/>
          <xsd:enumeration value="Guideline / Template / Specifications"/>
          <xsd:enumeration value="Invitation / Agenda"/>
          <xsd:enumeration value="Legal act"/>
          <xsd:enumeration value="Minutes / Aide-memoire"/>
          <xsd:enumeration value="Note (incl. annexes) / Fiche"/>
          <xsd:enumeration value="Observations"/>
          <xsd:enumeration value="Other"/>
          <xsd:enumeration value="Presentation"/>
          <xsd:enumeration value="Procedure"/>
          <xsd:enumeration value="Reply"/>
          <xsd:enumeration value="Report"/>
          <xsd:enumeration value="Summary / background"/>
          <xsd:enumeration value="Request / form / order"/>
        </xsd:restriction>
      </xsd:simpleType>
    </xsd:element>
    <xsd:element name="Docstatus" ma:index="31" ma:displayName="Doc status" ma:format="Dropdown" ma:internalName="Docstatus">
      <xsd:simpleType>
        <xsd:restriction base="dms:Choice">
          <xsd:enumeration value="Draft"/>
          <xsd:enumeration value="Under revision"/>
          <xsd:enumeration value="Final"/>
        </xsd:restriction>
      </xsd:simpleType>
    </xsd:element>
    <xsd:element name="CountrySSC" ma:index="32" nillable="true" ma:displayName="Country" ma:format="Dropdown" ma:internalName="CountrySSC" ma:requiredMultiChoice="true">
      <xsd:complexType>
        <xsd:complexContent>
          <xsd:extension base="dms:MultiChoice">
            <xsd:sequence>
              <xsd:element name="Value" maxOccurs="unbounded" minOccurs="0" nillable="true">
                <xsd:simpleType>
                  <xsd:restriction base="dms:Choice">
                    <xsd:enumeration value="EU"/>
                    <xsd:enumeration value="Austria"/>
                    <xsd:enumeration value="Belgium"/>
                    <xsd:enumeration value="Bulgaria"/>
                    <xsd:enumeration value="Croatia"/>
                    <xsd:enumeration value="Cyprus"/>
                    <xsd:enumeration value="Czechia"/>
                    <xsd:enumeration value="Denmark"/>
                    <xsd:enumeration value="Estonia"/>
                    <xsd:enumeration value="Finland"/>
                    <xsd:enumeration value="France"/>
                    <xsd:enumeration value="Germany"/>
                    <xsd:enumeration value="Greece"/>
                    <xsd:enumeration value="Hungary"/>
                    <xsd:enumeration value="Ireland"/>
                    <xsd:enumeration value="Italy"/>
                    <xsd:enumeration value="Latvia"/>
                    <xsd:enumeration value="Lithuania"/>
                    <xsd:enumeration value="Luxembourg"/>
                    <xsd:enumeration value="Malta"/>
                    <xsd:enumeration value="Netherlands"/>
                    <xsd:enumeration value="Poland"/>
                    <xsd:enumeration value="Portugal"/>
                    <xsd:enumeration value="Romania"/>
                    <xsd:enumeration value="Slovakia"/>
                    <xsd:enumeration value="Slovenia"/>
                    <xsd:enumeration value="Spain"/>
                    <xsd:enumeration value="Sweden"/>
                    <xsd:enumeration value="EFTA"/>
                    <xsd:enumeration value="Iceland"/>
                    <xsd:enumeration value="Liechtenstein"/>
                    <xsd:enumeration value="Norway"/>
                    <xsd:enumeration value="Switzerland"/>
                    <xsd:enumeration value="UK"/>
                    <xsd:enumeration value="Albania"/>
                    <xsd:enumeration value="Bosnia&amp;Hercegovina"/>
                    <xsd:enumeration value="Georgia"/>
                    <xsd:enumeration value="Kosovo"/>
                    <xsd:enumeration value="Moldova"/>
                    <xsd:enumeration value="Montenegro"/>
                    <xsd:enumeration value="North Macedonia"/>
                    <xsd:enumeration value="Serbia"/>
                    <xsd:enumeration value="Ukraine"/>
                    <xsd:enumeration value="other / more countries"/>
                  </xsd:restriction>
                </xsd:simpleType>
              </xsd:element>
            </xsd:sequence>
          </xsd:extension>
        </xsd:complexContent>
      </xsd:complexType>
    </xsd:element>
    <xsd:element name="Casehandler_x002f_responsible" ma:index="33" nillable="true" ma:displayName="Case handler / responsible" ma:description="For non-cases, the person which is responsible for the content.&#10;If just a messanger, then &quot;n.a. / other&quot; value to be chosen." ma:format="Dropdown" ma:internalName="Casehandler_x002f_responsible" ma:requiredMultiChoice="true">
      <xsd:complexType>
        <xsd:complexContent>
          <xsd:extension base="dms:MultiChoice">
            <xsd:sequence>
              <xsd:element name="Value" maxOccurs="unbounded" minOccurs="0" nillable="true">
                <xsd:simpleType>
                  <xsd:restriction base="dms:Choice">
                    <xsd:enumeration value="Ondra"/>
                    <xsd:enumeration value="Florence"/>
                    <xsd:enumeration value="Elsa"/>
                    <xsd:enumeration value="Pedro"/>
                    <xsd:enumeration value="Johannes"/>
                    <xsd:enumeration value="Ruben"/>
                    <xsd:enumeration value="Anne-Pascale"/>
                    <xsd:enumeration value="Adam"/>
                    <xsd:enumeration value="Katrin"/>
                    <xsd:enumeration value="Simona"/>
                    <xsd:enumeration value="Reetta"/>
                    <xsd:enumeration value="Silvia"/>
                    <xsd:enumeration value="Jorg"/>
                    <xsd:enumeration value="Benoit"/>
                    <xsd:enumeration value="Els"/>
                    <xsd:enumeration value="Eli"/>
                    <xsd:enumeration value="Tomasz"/>
                    <xsd:enumeration value="Pekka"/>
                    <xsd:enumeration value="Gillian"/>
                    <xsd:enumeration value="Eva"/>
                    <xsd:enumeration value="Elisa"/>
                    <xsd:enumeration value="Sandra"/>
                    <xsd:enumeration value="Kristiane"/>
                    <xsd:enumeration value="Stephanie"/>
                    <xsd:enumeration value="Ilias"/>
                    <xsd:enumeration value="Ines"/>
                    <xsd:enumeration value="Lode"/>
                    <xsd:enumeration value="Renos"/>
                    <xsd:enumeration value="n.a. / other"/>
                  </xsd:restriction>
                </xsd:simpleType>
              </xsd:element>
            </xsd:sequence>
          </xsd:extension>
        </xsd:complexContent>
      </xsd:complexType>
    </xsd:element>
    <xsd:element name="SensitivitySSC" ma:index="34" nillable="true" ma:displayName="SensitivitySSC" ma:default="Commission use" ma:format="Dropdown" ma:internalName="SensitivitySSC">
      <xsd:simpleType>
        <xsd:restriction base="dms:Choice">
          <xsd:enumeration value="Commission use"/>
          <xsd:enumeration value="Public"/>
          <xsd:enumeration value="SNC"/>
        </xsd:restriction>
      </xsd:simpleType>
    </xsd:element>
    <xsd:element name="Year_x0028_s_x0029_" ma:index="35" ma:displayName="Year(s)" ma:format="Dropdown" ma:internalName="Year_x0028_s_x0029_">
      <xsd:simpleType>
        <xsd:restriction base="dms:Choice">
          <xsd:enumeration value="2026"/>
          <xsd:enumeration value="2025"/>
          <xsd:enumeration value="2024"/>
          <xsd:enumeration value="2023"/>
          <xsd:enumeration value="2022"/>
          <xsd:enumeration value="2021"/>
          <xsd:enumeration value="2020"/>
          <xsd:enumeration value="2015-2019"/>
          <xsd:enumeration value="2010-2014"/>
          <xsd:enumeration value="2005-2009"/>
          <xsd:enumeration value="2000-2004"/>
          <xsd:enumeration value="pre-2000"/>
          <xsd:enumeration value="Choice 13"/>
        </xsd:restriction>
      </xsd:simpleType>
    </xsd:element>
    <xsd:element name="Reference_x002d_keywords" ma:index="36" nillable="true" ma:displayName="Reference - keywords" ma:description="This column may contain one or more values which then can be used to filter.&#10;Please DO NOT REPEAT values in other columns." ma:format="Dropdown" ma:internalName="Reference_x002d_keywords">
      <xsd:complexType>
        <xsd:complexContent>
          <xsd:extension base="dms:MultiChoiceFillIn">
            <xsd:sequence>
              <xsd:element name="Value" maxOccurs="unbounded" minOccurs="0" nillable="true">
                <xsd:simpleType>
                  <xsd:union memberTypes="dms:Text">
                    <xsd:simpleType>
                      <xsd:restriction base="dms:Choice">
                        <xsd:enumeration value="EASE 2026/1117"/>
                        <xsd:enumeration value="Artists"/>
                      </xsd:restriction>
                    </xsd:simpleType>
                  </xsd:union>
                </xsd:simpleType>
              </xsd:element>
            </xsd:sequence>
          </xsd:extension>
        </xsd:complexContent>
      </xsd:complexType>
    </xsd:element>
    <xsd:element name="Link" ma:index="37"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4b4288-15a6-4b36-801c-a9875e40b07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ed64dc7-e9c8-476d-848a-7efe6d3eed39}" ma:internalName="TaxCatchAll" ma:showField="CatchAllData" ma:web="604b4288-15a6-4b36-801c-a9875e40b0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5C74AD-F67A-46DB-834B-3CD339E49BDD}">
  <ds:schemaRefs>
    <ds:schemaRef ds:uri="http://schemas.microsoft.com/office/2006/metadata/properties"/>
    <ds:schemaRef ds:uri="http://schemas.microsoft.com/office/infopath/2007/PartnerControls"/>
    <ds:schemaRef ds:uri="fb6c068c-bc2d-4620-b517-6a4d82a7e161"/>
    <ds:schemaRef ds:uri="604b4288-15a6-4b36-801c-a9875e40b072"/>
    <ds:schemaRef ds:uri="http://schemas.microsoft.com/sharepoint/v3"/>
  </ds:schemaRefs>
</ds:datastoreItem>
</file>

<file path=customXml/itemProps2.xml><?xml version="1.0" encoding="utf-8"?>
<ds:datastoreItem xmlns:ds="http://schemas.openxmlformats.org/officeDocument/2006/customXml" ds:itemID="{CE769472-A42D-4128-A192-12A8D1E59B76}">
  <ds:schemaRefs>
    <ds:schemaRef ds:uri="http://schemas.microsoft.com/sharepoint/v3/contenttype/forms"/>
  </ds:schemaRefs>
</ds:datastoreItem>
</file>

<file path=customXml/itemProps3.xml><?xml version="1.0" encoding="utf-8"?>
<ds:datastoreItem xmlns:ds="http://schemas.openxmlformats.org/officeDocument/2006/customXml" ds:itemID="{B333F963-7BF3-445A-9056-118243D5F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b6c068c-bc2d-4620-b517-6a4d82a7e161"/>
    <ds:schemaRef ds:uri="604b4288-15a6-4b36-801c-a9875e40b0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2136</Words>
  <Characters>12180</Characters>
  <Application>Microsoft Office Word</Application>
  <DocSecurity>0</DocSecurity>
  <Lines>101</Lines>
  <Paragraphs>28</Paragraphs>
  <ScaleCrop>false</ScaleCrop>
  <Manager/>
  <Company/>
  <LinksUpToDate>false</LinksUpToDate>
  <CharactersWithSpaces>14288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13</cp:revision>
  <dcterms:created xsi:type="dcterms:W3CDTF">2026-08-17T16:14:00Z</dcterms:created>
  <dcterms:modified xsi:type="dcterms:W3CDTF">2026-09-22T08:37:00Z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2026-03-17T11:31:14Z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e9fe2635-7ec9-4043-b209-04206ebe25cb</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0x010100D920D94BF79903409A44EFD8C6ED4DE5</vt:lpwstr>
  </property>
  <property fmtid="{D5CDD505-2E9C-101B-9397-08002B2CF9AE}" pid="18" name="MediaServiceImageTags">
    <vt:lpwstr/>
  </property>
</Properties>
</file>